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D6DA" w14:textId="2673EB9F" w:rsidR="007F1C7B" w:rsidRPr="00E84D76" w:rsidRDefault="00E84D76" w:rsidP="00E84D7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D76">
        <w:rPr>
          <w:rFonts w:ascii="Times New Roman" w:hAnsi="Times New Roman"/>
          <w:b/>
          <w:bCs/>
          <w:sz w:val="24"/>
          <w:szCs w:val="24"/>
        </w:rPr>
        <w:t>Этническая тематика в п</w:t>
      </w:r>
      <w:r w:rsidR="007F1C7B" w:rsidRPr="00E84D76">
        <w:rPr>
          <w:rFonts w:ascii="Times New Roman" w:hAnsi="Times New Roman"/>
          <w:b/>
          <w:bCs/>
          <w:sz w:val="24"/>
          <w:szCs w:val="24"/>
        </w:rPr>
        <w:t>ериодическ</w:t>
      </w:r>
      <w:r w:rsidRPr="00E84D76">
        <w:rPr>
          <w:rFonts w:ascii="Times New Roman" w:hAnsi="Times New Roman"/>
          <w:b/>
          <w:bCs/>
          <w:sz w:val="24"/>
          <w:szCs w:val="24"/>
        </w:rPr>
        <w:t>ой</w:t>
      </w:r>
      <w:r w:rsidR="007F1C7B" w:rsidRPr="00E84D76">
        <w:rPr>
          <w:rFonts w:ascii="Times New Roman" w:hAnsi="Times New Roman"/>
          <w:b/>
          <w:bCs/>
          <w:sz w:val="24"/>
          <w:szCs w:val="24"/>
        </w:rPr>
        <w:t xml:space="preserve"> печат</w:t>
      </w:r>
      <w:r w:rsidRPr="00E84D76">
        <w:rPr>
          <w:rFonts w:ascii="Times New Roman" w:hAnsi="Times New Roman"/>
          <w:b/>
          <w:bCs/>
          <w:sz w:val="24"/>
          <w:szCs w:val="24"/>
        </w:rPr>
        <w:t>и</w:t>
      </w:r>
    </w:p>
    <w:p w14:paraId="5E31E3AF" w14:textId="77777777" w:rsidR="00E84D76" w:rsidRPr="00E84D76" w:rsidRDefault="00E84D76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D5346" w14:textId="54305B78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Материалы этнического характера преимущественно представлены в универсальных качественных изданиях, ориентированных на освещение общественно-политической тематики: «Российская газета», «Известия». Но и массовых изданиях также присутствует этнический контент. Особое место в этом сегменте печатных СМИ занимает еженедельник «Аргументы недели» – федеральное универсальное издание, ориентированное на общественно-политическую тематику, с 2008 по 2018 гг. выпускающая приложение «Национальный акцент» – проект Гильдии межэтнической журналистики. Надо отметить, что «Национальный акцент» – самостоятельно зарегистрированное в Роскомнадзоре СМИ. Здесь публиковались материалы общественно-политической тематики (например, интервью с руководителем Федерального агентства по делам национальностей Игорем Бариновым) и материалы, имеющие этнокультурную специфику: «Укради и не спеши» о </w:t>
      </w:r>
      <w:proofErr w:type="spellStart"/>
      <w:r w:rsidRPr="00E84D76">
        <w:rPr>
          <w:rFonts w:ascii="Times New Roman" w:hAnsi="Times New Roman"/>
          <w:sz w:val="24"/>
          <w:szCs w:val="24"/>
        </w:rPr>
        <w:t>телеутском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обычае кражи невесты; «Кавказский регламент» об этикете народов Северного Кавказа (адыгов, карачаевцев, балкарцев, народов Дагестана); «</w:t>
      </w:r>
      <w:proofErr w:type="spellStart"/>
      <w:r w:rsidRPr="00E84D76">
        <w:rPr>
          <w:rFonts w:ascii="Times New Roman" w:hAnsi="Times New Roman"/>
          <w:sz w:val="24"/>
          <w:szCs w:val="24"/>
        </w:rPr>
        <w:t>Акатуй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» о чувашском национальном празднике, посвященном окончанию весенне-полевых работ и приходу лета, «Дагестанский ковер» – о праздновании юбилея Дагестана и другие публикации. На сайте газеты «Комсомольская правда» функционирует специальный проект «Арктика» – о социально-экономических проблемах этого региона, его развитии, коренных малочисленных народах Севера. </w:t>
      </w:r>
    </w:p>
    <w:p w14:paraId="1AA06698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 </w:t>
      </w:r>
    </w:p>
    <w:p w14:paraId="168C979C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Вернемся качественным изданиям. </w:t>
      </w:r>
    </w:p>
    <w:p w14:paraId="2AA0EC9A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Тематический диапазон публикаций разнообразен: и о долгожителе Ингушского села </w:t>
      </w:r>
      <w:proofErr w:type="spellStart"/>
      <w:r w:rsidRPr="00E84D76">
        <w:rPr>
          <w:rFonts w:ascii="Times New Roman" w:hAnsi="Times New Roman"/>
          <w:sz w:val="24"/>
          <w:szCs w:val="24"/>
        </w:rPr>
        <w:t>Аппазе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Илиеве – «Год рождения 1896», и о блогере из Дагестана Камале Салманове, который вырастил персиковый сад, – «Сетками из соцсетей», и о вопросе сохранения молодежи в дагестанском ауле (</w:t>
      </w:r>
      <w:proofErr w:type="spellStart"/>
      <w:r w:rsidRPr="00E84D76">
        <w:rPr>
          <w:rFonts w:ascii="Times New Roman" w:hAnsi="Times New Roman"/>
          <w:sz w:val="24"/>
          <w:szCs w:val="24"/>
        </w:rPr>
        <w:t>лид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: «В дагестанском ауле придумали, как сделать так, чтобы молодежь не разъезжалась») – «Горы вернули»; и об образовании – о журналистке, уехавшей из Москвы, чтобы в Дагестане стать сельской учительницей; и о вопросах национальной политики России – «Лицо уважаемой национальности» – интервью с руководителем ФАДН Игорем Бариновым. </w:t>
      </w:r>
    </w:p>
    <w:p w14:paraId="7AA19ADF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В этнологическом аспекте здесь представлены публикации о народах Дагестана, мордве, осетинах, татарах и многих других национальностях. И большой пласт публикаций представлен материалами этнокультурной тематики. Так, корреспондент «Российской газеты» переносит читателя в древнее дагестанское село </w:t>
      </w:r>
      <w:proofErr w:type="spellStart"/>
      <w:r w:rsidRPr="00E84D76">
        <w:rPr>
          <w:rFonts w:ascii="Times New Roman" w:hAnsi="Times New Roman"/>
          <w:sz w:val="24"/>
          <w:szCs w:val="24"/>
        </w:rPr>
        <w:t>Кубачи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, славящееся мастерами по обработке камней, дерева, бронзовому и золотому литью, плетению кольчуг. «Сегодня основной промысел местных мастеров, – пишет автор, – это изготовление столового серебра, холодного декоративного оружия, женских украшений из серебра с гравировкой, чернью, позолотой и </w:t>
      </w:r>
      <w:r w:rsidRPr="00E84D76">
        <w:rPr>
          <w:rFonts w:ascii="Times New Roman" w:hAnsi="Times New Roman"/>
          <w:sz w:val="24"/>
          <w:szCs w:val="24"/>
        </w:rPr>
        <w:lastRenderedPageBreak/>
        <w:t xml:space="preserve">чеканкой». В другом материале, «Папаха Хабиба», Тимур Алиев показывает небольшое село </w:t>
      </w:r>
      <w:proofErr w:type="spellStart"/>
      <w:r w:rsidRPr="00E84D76">
        <w:rPr>
          <w:rFonts w:ascii="Times New Roman" w:hAnsi="Times New Roman"/>
          <w:sz w:val="24"/>
          <w:szCs w:val="24"/>
        </w:rPr>
        <w:t>ТебекмахИ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в Республике Дагестан, где десятилетиями мужчины занимаются пошивом головных уборов, и рассказывает о кавказских обычаях: «Именно тут изготавливают папахи, традиционный головной убор горцев. Их в горах носили не только зимой, но и летом. Согласно обычаям, мужчина никогда не должен был снимать папаху. Было только одно исключение: когда он просил о прощении кровной мести». До недавнего времени, как отмечает журналист, в дагестанских селах практиковался обычай, когда «молодой человек, желавший засватать девушку, бросал в окно дома, где она жила, папаху». В случае, если головной убор оставался в доме и не вылетал обратно, юноша мог рассчитывать на взаимность. Здесь же Т. Алиев приводит цитату их стихотворения Расула Гамзатова: «Тряхнем-ка юностью в </w:t>
      </w:r>
      <w:proofErr w:type="spellStart"/>
      <w:r w:rsidRPr="00E84D76">
        <w:rPr>
          <w:rFonts w:ascii="Times New Roman" w:hAnsi="Times New Roman"/>
          <w:sz w:val="24"/>
          <w:szCs w:val="24"/>
        </w:rPr>
        <w:t>Ахване</w:t>
      </w:r>
      <w:proofErr w:type="spellEnd"/>
      <w:r w:rsidRPr="00E84D76">
        <w:rPr>
          <w:rFonts w:ascii="Times New Roman" w:hAnsi="Times New Roman"/>
          <w:sz w:val="24"/>
          <w:szCs w:val="24"/>
        </w:rPr>
        <w:t>, и вновь, как там заведено, свои забросим мы папахи к одной из девушек в окно». Чтобы передать сложность и трудоемкость работы мастеров, подробно описывается процесс изготовления папахи. Этим фрагментом раскрывается название публикации. Дело в том, что в настоящее время основная продукция сельских мастеров – белая «</w:t>
      </w:r>
      <w:proofErr w:type="spellStart"/>
      <w:r w:rsidRPr="00E84D76">
        <w:rPr>
          <w:rFonts w:ascii="Times New Roman" w:hAnsi="Times New Roman"/>
          <w:sz w:val="24"/>
          <w:szCs w:val="24"/>
        </w:rPr>
        <w:t>хабибовская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», как пишет журналист, папаха. «Желающих приобрести ее так много, что работать приходится круглосуточно. Причем с каждой победой Хабиба количество заказов увеличивается». </w:t>
      </w:r>
    </w:p>
    <w:p w14:paraId="24BF4F6E" w14:textId="021F47BF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Отдельный блок публикаций посвящен национальной кухне. В культуре конкретного народа, как отмечает коллектив исследователей (Л.А. Андреева, О.А. </w:t>
      </w:r>
      <w:proofErr w:type="spellStart"/>
      <w:r w:rsidRPr="00E84D76">
        <w:rPr>
          <w:rFonts w:ascii="Times New Roman" w:hAnsi="Times New Roman"/>
          <w:sz w:val="24"/>
          <w:szCs w:val="24"/>
        </w:rPr>
        <w:t>Хопияйнен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, Н.В. Филимонова), «именно национальная кухня далека от конструирования и способна сохранять свою уникальную специфику даже на протяжении определенного периода времени». </w:t>
      </w:r>
      <w:r w:rsidRPr="00E84D76">
        <w:rPr>
          <w:rFonts w:ascii="Times New Roman" w:hAnsi="Times New Roman"/>
          <w:color w:val="FF0000"/>
          <w:sz w:val="24"/>
          <w:szCs w:val="24"/>
        </w:rPr>
        <w:t xml:space="preserve">М.В. </w:t>
      </w:r>
      <w:proofErr w:type="spellStart"/>
      <w:r w:rsidRPr="00E84D76">
        <w:rPr>
          <w:rFonts w:ascii="Times New Roman" w:hAnsi="Times New Roman"/>
          <w:color w:val="FF0000"/>
          <w:sz w:val="24"/>
          <w:szCs w:val="24"/>
        </w:rPr>
        <w:t>Загидуллина</w:t>
      </w:r>
      <w:proofErr w:type="spellEnd"/>
      <w:r w:rsidRPr="00E84D76">
        <w:rPr>
          <w:rFonts w:ascii="Times New Roman" w:hAnsi="Times New Roman"/>
          <w:color w:val="FF0000"/>
          <w:sz w:val="24"/>
          <w:szCs w:val="24"/>
        </w:rPr>
        <w:t xml:space="preserve"> утверждает, что «остановка каждого конкретного племени на определенном наборе кулинарных приемов и их закрепление в качестве национально значимых оказывается отражением внутреннего кода этноса, его "задания", которое он выполняет своим существованием на </w:t>
      </w:r>
      <w:proofErr w:type="spellStart"/>
      <w:proofErr w:type="gramStart"/>
      <w:r w:rsidRPr="00E84D76">
        <w:rPr>
          <w:rFonts w:ascii="Times New Roman" w:hAnsi="Times New Roman"/>
          <w:color w:val="FF0000"/>
          <w:sz w:val="24"/>
          <w:szCs w:val="24"/>
        </w:rPr>
        <w:t>Земле»Текстом</w:t>
      </w:r>
      <w:proofErr w:type="spellEnd"/>
      <w:proofErr w:type="gramEnd"/>
      <w:r w:rsidRPr="00E84D76">
        <w:rPr>
          <w:rFonts w:ascii="Times New Roman" w:hAnsi="Times New Roman"/>
          <w:color w:val="FF0000"/>
          <w:sz w:val="24"/>
          <w:szCs w:val="24"/>
        </w:rPr>
        <w:t xml:space="preserve"> на мои слова.</w:t>
      </w:r>
      <w:r w:rsidRPr="00E84D76">
        <w:rPr>
          <w:rFonts w:ascii="Times New Roman" w:hAnsi="Times New Roman"/>
          <w:sz w:val="24"/>
          <w:szCs w:val="24"/>
        </w:rPr>
        <w:t>. В монографии «Ингуши» из серии «Народы и культуры» о национальной кухне авторы пишут следующее: «Традиционная пища любого этноса формируется на протяжении всей его истории и является существенным элементом его духовной и материальной культуры. Большое значение при этом имеют физико-географическая и экологическая среда, флора и фауна его исторической территории. Пища народа отличается значительной консервативностью и редко поддается прямому заимствованию». Следовательно, чем больше информации предоставляется об особенностях национальной кухни в СМИ, тем значительнее расширяются представления о культуре народов.</w:t>
      </w:r>
    </w:p>
    <w:p w14:paraId="5A56F086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В «Мордовию – на блины </w:t>
      </w:r>
      <w:proofErr w:type="spellStart"/>
      <w:r w:rsidRPr="00E84D76">
        <w:rPr>
          <w:rFonts w:ascii="Times New Roman" w:hAnsi="Times New Roman"/>
          <w:sz w:val="24"/>
          <w:szCs w:val="24"/>
        </w:rPr>
        <w:t>пачат</w:t>
      </w:r>
      <w:proofErr w:type="spellEnd"/>
      <w:r w:rsidRPr="00E84D76">
        <w:rPr>
          <w:rFonts w:ascii="Times New Roman" w:hAnsi="Times New Roman"/>
          <w:sz w:val="24"/>
          <w:szCs w:val="24"/>
        </w:rPr>
        <w:t>» предлагает переместится журналист «Российской газеты» Валентина Зотикова. Предлагая сведения о хозяйственной деятельности древней мордвы, которым являлось звероловство (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«здешние охотники запросто хаживали на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медведя с </w:t>
      </w:r>
      <w:proofErr w:type="spellStart"/>
      <w:proofErr w:type="gram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рогатиной»</w:t>
      </w:r>
      <w:r w:rsidRPr="00E84D76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накладываем</w:t>
      </w:r>
      <w:proofErr w:type="spellEnd"/>
      <w:proofErr w:type="gramEnd"/>
      <w:r w:rsidRPr="00E84D76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цитату на слова «</w:t>
      </w:r>
      <w:r w:rsidRPr="00E84D76">
        <w:rPr>
          <w:rFonts w:ascii="Times New Roman" w:hAnsi="Times New Roman"/>
          <w:sz w:val="24"/>
          <w:szCs w:val="24"/>
        </w:rPr>
        <w:t xml:space="preserve">о </w:t>
      </w:r>
      <w:r w:rsidRPr="00E84D76">
        <w:rPr>
          <w:rFonts w:ascii="Times New Roman" w:hAnsi="Times New Roman"/>
          <w:i/>
          <w:iCs/>
          <w:sz w:val="24"/>
          <w:szCs w:val="24"/>
        </w:rPr>
        <w:t>хозяйственной деятельности древней мордвы, которым являлось звероловство</w:t>
      </w:r>
      <w:r w:rsidRPr="00E84D76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»</w:t>
      </w:r>
      <w:r w:rsidRPr="00E84D76">
        <w:rPr>
          <w:rFonts w:ascii="Times New Roman" w:hAnsi="Times New Roman"/>
          <w:sz w:val="24"/>
          <w:szCs w:val="24"/>
        </w:rPr>
        <w:t>), она констатирует, что «в любом уважающем себя ресторане столицы Мордовии вам непременно предложат отведать блюдо с названием "медвежья лапа" (</w:t>
      </w:r>
      <w:proofErr w:type="spellStart"/>
      <w:r w:rsidRPr="00E84D76">
        <w:rPr>
          <w:rFonts w:ascii="Times New Roman" w:hAnsi="Times New Roman"/>
          <w:sz w:val="24"/>
          <w:szCs w:val="24"/>
        </w:rPr>
        <w:t>офтоньмадят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)». При этом раскрывается рецепт приготовления блюда: «Современная "медвежья лапа" готовится из говядины, свинины и печени, а "медвежьи когти" сделаны из ржаных сухариков». В Мордовии было принято, и это следует из публикации, не варить яйца, а запекать их в печи, сложив в чугунок без добавления воды. Журналист описывает и «незабываемый вкус» мордовского напитка поза, напоминающий русский квас, и особенность, которой отличаются национальные блины («не только толщиной, но и более сложным составом»). </w:t>
      </w:r>
    </w:p>
    <w:p w14:paraId="54561C0C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Каждый народ славится своей уникальной выпечкой. В Осетии это – осетинские пироги, не только имеющие символическое значение для алан, но и являющиеся элементом священной трапезы – молитвы. «На все радостные праздничные события (дни рождения, встречу гостей, дружеские застолья), – указывается в публикации, – принято носить три пирога…». Автор продолжает: «Это сейчас пироги стали обычным блюдом. Но изначально у них был сакральный смысл: ставя три пирога на стол, человек стремился сохранить гармонию в окружающем мире». О том, что «татары – страстные чаевники» и что «туристов угостят 14 видами чая, щербетом из лепестков дикой розы, блюдами татарской и тюркской кухни», читатель может узнать из материала О. Корякина «Тысяча и одно удовольствие». «В Татарстане еда возведена в культ, – пишет уже коллектив журналистов в материале "Строганина и буза", – Кулинарными визитками столицы Татарстана являются </w:t>
      </w:r>
      <w:proofErr w:type="spellStart"/>
      <w:r w:rsidRPr="00E84D76">
        <w:rPr>
          <w:rFonts w:ascii="Times New Roman" w:hAnsi="Times New Roman"/>
          <w:sz w:val="24"/>
          <w:szCs w:val="24"/>
        </w:rPr>
        <w:t>чак-чак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(лакомство из теста и меда) и эчпочмак – треугольный пирожок с начинкой из картошки и мяса». Мясо – основной ингредиент в башкирской кухне. Все потому, что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башкиры – кочевой народ</w:t>
      </w:r>
      <w:r w:rsidRPr="00E84D76">
        <w:rPr>
          <w:rFonts w:ascii="Times New Roman" w:hAnsi="Times New Roman"/>
          <w:sz w:val="24"/>
          <w:szCs w:val="24"/>
        </w:rPr>
        <w:t xml:space="preserve">. Основное национальное блюдо – </w:t>
      </w:r>
      <w:proofErr w:type="spellStart"/>
      <w:r w:rsidRPr="00E84D76">
        <w:rPr>
          <w:rFonts w:ascii="Times New Roman" w:hAnsi="Times New Roman"/>
          <w:sz w:val="24"/>
          <w:szCs w:val="24"/>
        </w:rPr>
        <w:t>казылык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, «это колбаса из конины»,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«она может быть вяленой, сыровяленой, вареной, но всегда необыкновенно вкусной»</w:t>
      </w:r>
      <w:r w:rsidRPr="00E84D76">
        <w:rPr>
          <w:rFonts w:ascii="Times New Roman" w:hAnsi="Times New Roman"/>
          <w:sz w:val="24"/>
          <w:szCs w:val="24"/>
        </w:rPr>
        <w:t xml:space="preserve">. Целительный энергетический коктейль из крови </w:t>
      </w:r>
      <w:proofErr w:type="spellStart"/>
      <w:r w:rsidRPr="00E84D76">
        <w:rPr>
          <w:rFonts w:ascii="Times New Roman" w:hAnsi="Times New Roman"/>
          <w:sz w:val="24"/>
          <w:szCs w:val="24"/>
        </w:rPr>
        <w:t>свежезабитого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оленя пьют коренные народы Ямала. И это – необходимость, вызванная суровыми климатическими условиями, «иначе просто не выжить». </w:t>
      </w:r>
    </w:p>
    <w:p w14:paraId="067ECA43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>Тема национальной кухни широко представлена специализированном ежемесячном журнале «</w:t>
      </w:r>
      <w:proofErr w:type="spellStart"/>
      <w:r w:rsidRPr="00E84D76">
        <w:rPr>
          <w:rFonts w:ascii="Times New Roman" w:hAnsi="Times New Roman"/>
          <w:sz w:val="24"/>
          <w:szCs w:val="24"/>
        </w:rPr>
        <w:t>Гастрономъ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». Через доминирующую здесь тему еды репрезентируются национальные особенности народов: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«В Кабардино-Балкарии просто невозможно пройти мимо хычинов (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хичинов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). Ими встречают дорогих гостей, даже если вы просто зашли на минуту поздороваться в дом к знакомым. Вам обязательно предложат хычины и свежий айран»</w:t>
      </w:r>
      <w:r w:rsidRPr="00E84D76">
        <w:rPr>
          <w:rFonts w:ascii="Times New Roman" w:hAnsi="Times New Roman"/>
          <w:sz w:val="24"/>
          <w:szCs w:val="24"/>
        </w:rPr>
        <w:t xml:space="preserve">. А в Удмуртии – «замечательные и всевозможные пирожки –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няни (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льомен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 нянь – с черемухой,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сюлэн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 нянь – с ливером,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губиен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 нянь – с грибами)»</w:t>
      </w:r>
    </w:p>
    <w:p w14:paraId="49220DE8" w14:textId="77777777" w:rsidR="007F1C7B" w:rsidRPr="00E84D76" w:rsidRDefault="007F1C7B" w:rsidP="00E84D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84D76">
        <w:rPr>
          <w:rFonts w:ascii="Times New Roman" w:hAnsi="Times New Roman"/>
          <w:sz w:val="24"/>
          <w:szCs w:val="24"/>
        </w:rPr>
        <w:lastRenderedPageBreak/>
        <w:t xml:space="preserve">Об элементах традиционного этикета, к коему на Северном Кавказе относится гостеприимство, пишет Кирилл Сидоров в журнале «Вокруг света». Своей репортаж о поездке в Дагестан он начинает с диалога: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«–</w:t>
      </w:r>
      <w:r w:rsidRPr="00E84D7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Где твоя куртка? Почему ты в одной футболке? Заболеешь!</w:t>
      </w:r>
    </w:p>
    <w:p w14:paraId="3A7C6582" w14:textId="77777777" w:rsidR="007F1C7B" w:rsidRPr="00E84D76" w:rsidRDefault="007F1C7B" w:rsidP="00E84D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Pr="00E84D7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Оставил в машине. Ничего страшного, я закаленный,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Pr="00E84D7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отвечаю, а сам думаю: пронизывающий горный воздух Дагестана хорошо бы продавать в бутылках в качестве лекарства от многих болезней.</w:t>
      </w:r>
    </w:p>
    <w:p w14:paraId="514EF91A" w14:textId="77777777" w:rsidR="007F1C7B" w:rsidRPr="00E84D76" w:rsidRDefault="007F1C7B" w:rsidP="00E84D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Pr="00E84D7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Вот возьми и надень мою, пожалуйста!</w:t>
      </w:r>
    </w:p>
    <w:p w14:paraId="5DB74238" w14:textId="77777777" w:rsidR="007F1C7B" w:rsidRPr="00E84D76" w:rsidRDefault="007F1C7B" w:rsidP="00E84D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Pr="00E84D7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Слушай, ну я же не девушка…</w:t>
      </w:r>
    </w:p>
    <w:p w14:paraId="5A744E23" w14:textId="77777777" w:rsidR="007F1C7B" w:rsidRPr="00E84D76" w:rsidRDefault="007F1C7B" w:rsidP="00E84D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Pr="00E84D7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Ты не девушка. Ты мой гость. Надень! Иначе меня потом односельчане упреками замучают»</w:t>
      </w:r>
      <w:r w:rsidRPr="00E84D76">
        <w:rPr>
          <w:rFonts w:ascii="Times New Roman" w:eastAsia="Times New Roman" w:hAnsi="Times New Roman"/>
          <w:sz w:val="24"/>
          <w:szCs w:val="24"/>
          <w:lang w:eastAsia="ru-RU"/>
        </w:rPr>
        <w:t>. «На протяжении всего пребывания в Дагестане, – продолжает автор, – я был обязан быть сытым, пьяным, согретым местным гостеприимством и изумленным от увиденных природных красот. Статус гостя, ничего не попишешь. Известны случаи, когда во время споров между соседями, решавшими, у кого должен остаться гость, дело доходило до оружия</w:t>
      </w:r>
      <w:r w:rsidRPr="00E84D76">
        <w:rPr>
          <w:rFonts w:ascii="Times New Roman" w:hAnsi="Times New Roman"/>
          <w:sz w:val="24"/>
          <w:szCs w:val="24"/>
        </w:rPr>
        <w:t xml:space="preserve">» («Вокруг света»). </w:t>
      </w:r>
    </w:p>
    <w:p w14:paraId="3AE66EDB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>О кавказском гостеприимстве и главном национальном блюде пишет Тимофей Баженов, рассказывая об Ингушетии: «Народное блюдо в Ингушетии – это мясо с галушками. Галушки напоминают маленькие пельмени без начинки. К ним подают кусок мяса, бульон и мелко толченный чеснок. Местные жители очень гостеприимны: если вдруг окажется, что у вас нет денег, вас обязательно пригласят в дом, сытно накормят и уложат спать» (</w:t>
      </w:r>
      <w:r w:rsidRPr="00E84D76">
        <w:rPr>
          <w:rFonts w:ascii="Times New Roman" w:hAnsi="Times New Roman"/>
          <w:sz w:val="24"/>
          <w:szCs w:val="24"/>
          <w:lang w:val="en-US"/>
        </w:rPr>
        <w:t>Traveler</w:t>
      </w:r>
      <w:r w:rsidRPr="00E84D76">
        <w:rPr>
          <w:rFonts w:ascii="Times New Roman" w:hAnsi="Times New Roman"/>
          <w:sz w:val="24"/>
          <w:szCs w:val="24"/>
        </w:rPr>
        <w:t xml:space="preserve">).В книге «Ингуши» серии «Народы и культуры» представлены следующие сведения о главном национальном блюде: «Самым распространенным блюдом ингушской кухни было "мясо с галушками" </w:t>
      </w:r>
      <w:proofErr w:type="spellStart"/>
      <w:r w:rsidRPr="00E84D76">
        <w:rPr>
          <w:rFonts w:ascii="Times New Roman" w:hAnsi="Times New Roman"/>
          <w:i/>
          <w:iCs/>
          <w:sz w:val="24"/>
          <w:szCs w:val="24"/>
        </w:rPr>
        <w:t>дулх-хьалт</w:t>
      </w:r>
      <w:proofErr w:type="spellEnd"/>
      <w:r w:rsidRPr="00E84D7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spellStart"/>
      <w:r w:rsidRPr="00E84D76"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Pr="00E84D7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84D76">
        <w:rPr>
          <w:rFonts w:ascii="Times New Roman" w:hAnsi="Times New Roman"/>
          <w:sz w:val="24"/>
          <w:szCs w:val="24"/>
        </w:rPr>
        <w:t>"острый соус из луковиц черемши" (</w:t>
      </w:r>
      <w:r w:rsidRPr="00E84D76">
        <w:rPr>
          <w:rFonts w:ascii="Times New Roman" w:hAnsi="Times New Roman"/>
          <w:i/>
          <w:iCs/>
          <w:sz w:val="24"/>
          <w:szCs w:val="24"/>
        </w:rPr>
        <w:t>к</w:t>
      </w:r>
      <w:r w:rsidRPr="00E84D7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E84D76">
        <w:rPr>
          <w:rFonts w:ascii="Times New Roman" w:hAnsi="Times New Roman"/>
          <w:i/>
          <w:iCs/>
          <w:sz w:val="24"/>
          <w:szCs w:val="24"/>
        </w:rPr>
        <w:t xml:space="preserve">ома </w:t>
      </w:r>
      <w:proofErr w:type="spellStart"/>
      <w:r w:rsidRPr="00E84D76">
        <w:rPr>
          <w:rFonts w:ascii="Times New Roman" w:hAnsi="Times New Roman"/>
          <w:i/>
          <w:iCs/>
          <w:sz w:val="24"/>
          <w:szCs w:val="24"/>
        </w:rPr>
        <w:t>берх</w:t>
      </w:r>
      <w:proofErr w:type="spellEnd"/>
      <w:r w:rsidRPr="00E84D7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E84D76">
        <w:rPr>
          <w:rFonts w:ascii="Times New Roman" w:hAnsi="Times New Roman"/>
          <w:i/>
          <w:iCs/>
          <w:sz w:val="24"/>
          <w:szCs w:val="24"/>
        </w:rPr>
        <w:t>а</w:t>
      </w:r>
      <w:r w:rsidRPr="00E84D76">
        <w:rPr>
          <w:rFonts w:ascii="Times New Roman" w:hAnsi="Times New Roman"/>
          <w:sz w:val="24"/>
          <w:szCs w:val="24"/>
        </w:rPr>
        <w:t>) и "мясной бульон" (</w:t>
      </w:r>
      <w:proofErr w:type="spellStart"/>
      <w:r w:rsidRPr="00E84D76">
        <w:rPr>
          <w:rFonts w:ascii="Times New Roman" w:hAnsi="Times New Roman"/>
          <w:i/>
          <w:iCs/>
          <w:sz w:val="24"/>
          <w:szCs w:val="24"/>
        </w:rPr>
        <w:t>дилла</w:t>
      </w:r>
      <w:proofErr w:type="spellEnd"/>
      <w:r w:rsidRPr="00E84D76">
        <w:rPr>
          <w:rFonts w:ascii="Times New Roman" w:hAnsi="Times New Roman"/>
          <w:sz w:val="24"/>
          <w:szCs w:val="24"/>
        </w:rPr>
        <w:t>)», «… в семье почитаемой или бедной еда была одна – нарезанное мясо с кукурузными галушками, чесночным соусом и бульоном…» [198]. А обычаю гостеприимства дается историческое обоснование: «Этот обычай своими корнями уходит в далекое прошлое. В период господства родового строя. Гостеприимство и куначество были вызваны жизненной необходимостью развития социально-экономических связей между территориально разобщенными народами и фамилиями. Значение этих контактов трудно переоценить для развития торговли, а в военных условиях для целей защиты и обороны. Путник – гость, кроме того, он был почти единственным глашатаем, информатором о всех происшествиях и новостях в крае и за его пределами. В дом, где останавливался гость, приходили мужчины всего аула не только отдать дань уважения, но и получить информацию о внешнем мире. На протяжении всей истории ингушей гостеприимство превратилось в одну из замечательных традиций народа» [278].</w:t>
      </w:r>
    </w:p>
    <w:p w14:paraId="35378EBE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lastRenderedPageBreak/>
        <w:t xml:space="preserve">Информация о символическом значении национального костюма в культуре бурят представлена в публикации Марии Мироновой «Мисс мира: Россия. Рыбки счастья». Исследователь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О.А.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Боева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 считает, что «традиционный народный костюм следует рассматривать как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социокод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, который фиксирует определенные характеристики конкретной культуры и, вместе с тем, является посредником среди типов культур разных этносов в коммуникации, трансляции и усвоении определенной, значимой для данной культуры информации»</w:t>
      </w:r>
      <w:r w:rsidRPr="00E84D76">
        <w:rPr>
          <w:rFonts w:ascii="Times New Roman" w:hAnsi="Times New Roman"/>
          <w:sz w:val="24"/>
          <w:szCs w:val="24"/>
        </w:rPr>
        <w:t xml:space="preserve">. []. </w:t>
      </w:r>
      <w:proofErr w:type="spellStart"/>
      <w:r w:rsidRPr="00E84D76">
        <w:rPr>
          <w:rFonts w:ascii="Times New Roman" w:hAnsi="Times New Roman"/>
          <w:sz w:val="24"/>
          <w:szCs w:val="24"/>
        </w:rPr>
        <w:t>Этножурналистика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как раз-таки расшифровывает аудитории те культурные коды, которые несет в себе тот или иной объект. В данном случае – национальный костюм. Так, в материале говорится о то, что «по наряду можно понять, не только откуда родом девушка, но и замужем ли она (если да, то носит безрукавку)»; отмечается, что «запахивая одежду слева направо, буряты закрываются от злых духов, а расстегивая, открываются добрым, западным». Автор делает отсылку к народным поверьям, согласно которым «западные небожители доброжелательны к людям, а восточные, напротив, враждебны». Символична и отделка украшений: «изображение бараньего рога призвано привлечь богатство, цветов – плодородие, двух рыбок – благополучие». </w:t>
      </w:r>
    </w:p>
    <w:p w14:paraId="2F6BD7EE" w14:textId="4877A6E9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>В отдельную группу публикаций можно отнести материалы о коренных малочисленных народах России. Н.А. Филиппова наряду с официальным законодательным признаком (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численность коренных малочисленных народов России не превышает 50 тысяч представителей</w:t>
      </w:r>
      <w:r w:rsidRPr="00E84D76">
        <w:rPr>
          <w:rFonts w:ascii="Times New Roman" w:hAnsi="Times New Roman"/>
          <w:sz w:val="24"/>
          <w:szCs w:val="24"/>
        </w:rPr>
        <w:t xml:space="preserve"> – </w:t>
      </w:r>
      <w:r w:rsidRPr="00E84D76">
        <w:rPr>
          <w:rFonts w:ascii="Times New Roman" w:hAnsi="Times New Roman"/>
          <w:i/>
          <w:iCs/>
          <w:color w:val="FF0000"/>
          <w:sz w:val="24"/>
          <w:szCs w:val="24"/>
        </w:rPr>
        <w:t>на слова материалы о коренных малочисленных народах России</w:t>
      </w:r>
      <w:r w:rsidRPr="00E84D76">
        <w:rPr>
          <w:rFonts w:ascii="Times New Roman" w:hAnsi="Times New Roman"/>
          <w:sz w:val="24"/>
          <w:szCs w:val="24"/>
        </w:rPr>
        <w:t xml:space="preserve">) акцентирует признак сохранения традиционного образа жизни (признак традиционности) [Филиппова, 433-434]. В.А. Тишков с коллективом соавторов определяя историческую специфику коренных народов российской Арктики пишут, что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«они воплощают в этом регионе культурное, социальное и экологическое наследие уникального образа жизни (своего рода «арктическую цивилизацию»), освоив природную среду и создав системы жизнеобеспечения уже несколько тысяч лет тому назад</w:t>
      </w:r>
      <w:r w:rsidR="00E84D76"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E84D76" w:rsidRPr="00E84D76">
        <w:rPr>
          <w:rFonts w:ascii="Times New Roman" w:hAnsi="Times New Roman"/>
          <w:sz w:val="24"/>
          <w:szCs w:val="24"/>
        </w:rPr>
        <w:t>(</w:t>
      </w:r>
      <w:r w:rsidRPr="00E84D76">
        <w:rPr>
          <w:rFonts w:ascii="Times New Roman" w:hAnsi="Times New Roman"/>
          <w:sz w:val="24"/>
          <w:szCs w:val="24"/>
        </w:rPr>
        <w:t>Тишков</w:t>
      </w:r>
      <w:r w:rsidR="00E84D76" w:rsidRPr="00E84D76">
        <w:rPr>
          <w:rFonts w:ascii="Times New Roman" w:hAnsi="Times New Roman"/>
          <w:sz w:val="24"/>
          <w:szCs w:val="24"/>
        </w:rPr>
        <w:t>)</w:t>
      </w:r>
      <w:r w:rsidRPr="00E84D76">
        <w:rPr>
          <w:rFonts w:ascii="Times New Roman" w:hAnsi="Times New Roman"/>
          <w:sz w:val="24"/>
          <w:szCs w:val="24"/>
        </w:rPr>
        <w:t>. В отношении коленных малочисленных народов России существует несколько проблем: это вопросы и природопользования, и адаптации традиционной хозяйственной деятельности к современным экономическим условиям</w:t>
      </w:r>
      <w:r w:rsidRPr="00E84D76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E84D76">
        <w:rPr>
          <w:rFonts w:ascii="Times New Roman" w:hAnsi="Times New Roman"/>
          <w:sz w:val="24"/>
          <w:szCs w:val="24"/>
        </w:rPr>
        <w:t xml:space="preserve">, и обеспечение конституционных прав, и сохранение традиционного образа жизни и этнокультуры. Одним из приоритетных вопросов ученых разных областей знаний считают сохранение родного языка как наиболее очевидного условия «обеспечения идентичности коренных малочисленных народов» [Филиппова, 435]. Эта проблематика находит свое отражение и в средствах массовой информации. До закрытия журнала «Огонек» большое количество материалов можно было встретить в этом издании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(«С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нивхского на Невский», «Ительмены удачи», «Тепло Севера»</w:t>
      </w:r>
      <w:r w:rsidRPr="00E84D76">
        <w:rPr>
          <w:rFonts w:ascii="Times New Roman" w:hAnsi="Times New Roman"/>
          <w:sz w:val="24"/>
          <w:szCs w:val="24"/>
        </w:rPr>
        <w:t xml:space="preserve">). Но тема коренных малочисленных народов функционирует и в других периодических изданиях. В ряде публикаций журнала «Вокруг света» уникальная культура коренных народов показывается через конкретного представителя конкретного народа. В этом случае, как правило, повествование ведется от первого лица – герой материала рассказывает о традициях, верованиях, ведении хозяйства. Например, в публикации «Заглянуть в душу» журнала «Вокруг света» представительница коренного малочисленного народа саамы Светлана </w:t>
      </w:r>
      <w:proofErr w:type="spellStart"/>
      <w:r w:rsidRPr="00E84D76">
        <w:rPr>
          <w:rFonts w:ascii="Times New Roman" w:hAnsi="Times New Roman"/>
          <w:sz w:val="24"/>
          <w:szCs w:val="24"/>
        </w:rPr>
        <w:t>Матрехина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делится следующей информацией: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«Олени – наша жизнь: еда, лекарство, одежда, дома, транспорт и душа. В тундре не растут помидоры, огурцы, не выживают коровы, козы и овцы. На одних грибах и ягодах долго не протянешь. Мы един оленье мясо, пьем молоко, из рогов делаем лекарства. Из шкур шьем шапки и унты, строим дома, мастерим ритуальные бубны»</w:t>
      </w:r>
      <w:r w:rsidRPr="00E84D76">
        <w:rPr>
          <w:rFonts w:ascii="Times New Roman" w:hAnsi="Times New Roman"/>
          <w:sz w:val="24"/>
          <w:szCs w:val="24"/>
        </w:rPr>
        <w:t xml:space="preserve">. Одним из обрядов саамов, об этом тоже говорится в материале, является путешествие по мирам – верхнему, среднему, нижнему. Любой обряд совершается с участием женщины, так как «душа мурманской саамки сильнее мужской»; их должно быть четыре, по числу сторон света. «Саамская женщина, – рассказывает героиня публикации, – имеет право выйти замуж за мужчину любой национальности. Все ее потомки будут саамами, даже через сотни поколений. У нас сильные гены». Представлены сведения о свадебной обрядовой культуре: «Во время бракосочетания молодоженам связывают руки и дают выпить чистой воды из одного стакана. Этим обрядом мы связываем души молодоженов. Такой брак навсегда. Развестись не получится». Семейная обрядовая культура включает в себя хранение пуповины младенца: «Эта частичка плоти – связь двух душ. Очень сильный амулет. Если сын или дочь загадает пуповине самое сокровенное желание, оно исполнится». </w:t>
      </w:r>
    </w:p>
    <w:p w14:paraId="5747952F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Герой другого материала– Виктор Томский – делится с журналистом сведениями о якутах: «Человек должен знать свое место в природе. Для якутов поиск этого </w:t>
      </w:r>
      <w:proofErr w:type="gramStart"/>
      <w:r w:rsidRPr="00E84D76">
        <w:rPr>
          <w:rFonts w:ascii="Times New Roman" w:hAnsi="Times New Roman"/>
          <w:sz w:val="24"/>
          <w:szCs w:val="24"/>
        </w:rPr>
        <w:t>места  -</w:t>
      </w:r>
      <w:proofErr w:type="gramEnd"/>
      <w:r w:rsidRPr="00E84D76">
        <w:rPr>
          <w:rFonts w:ascii="Times New Roman" w:hAnsi="Times New Roman"/>
          <w:sz w:val="24"/>
          <w:szCs w:val="24"/>
        </w:rPr>
        <w:t xml:space="preserve"> не фигура речи, а естественный жизненный процесс. Например, юрты обычно строят на пригорке, причем так, чтобы с северной стороны рядом был склон или густой лес, способный защитить от холодного ветра. Дверь должна выходить на юг или восток. В старину, выбирая место для юрты, смотрели еще, где любят лежать коровы. Наблюдая за повадками животных, мы многому у них научились»; «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Мы, якуты, до сих пор верим в духов природы –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иччи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. Стараемся их не сердить, задабриваем. Чтобы не злить духа рек и озер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Эбэ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, нельзя загрязнять водоемы, кидать в воду острые предметы»</w:t>
      </w:r>
      <w:r w:rsidRPr="00E84D76">
        <w:rPr>
          <w:rFonts w:ascii="Times New Roman" w:hAnsi="Times New Roman"/>
          <w:sz w:val="24"/>
          <w:szCs w:val="24"/>
        </w:rPr>
        <w:t xml:space="preserve">. </w:t>
      </w:r>
    </w:p>
    <w:p w14:paraId="7033101A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Подобные материалы, как правило, сопровождаются справочной информацией о конкретном народе или коренных малочисленных народах в целом: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«Якуты. Самоназвание – саха (во множественном числе –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сахалар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 xml:space="preserve">). Общая численность – около 480 000 человек. Большая часть из них проживает в Якутии. Согласно одной из гипотез, якутский этнос </w:t>
      </w:r>
      <w:proofErr w:type="spellStart"/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возникв</w:t>
      </w:r>
      <w:proofErr w:type="spellEnd"/>
      <w:r w:rsidRPr="00E84D76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XV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XVI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вв.», «Из 40 коренных малочисленных народов Севера, Сибири и Дальнего Востока почти половина находится на грани вымирания. Численность 13 из них – менее тысячи, серьезный повод для беспокойства, ведь необходимо сохранить не только этнос, но и его культуру»</w:t>
      </w:r>
      <w:r w:rsidRPr="00E84D76">
        <w:rPr>
          <w:rFonts w:ascii="Times New Roman" w:hAnsi="Times New Roman"/>
          <w:sz w:val="24"/>
          <w:szCs w:val="24"/>
        </w:rPr>
        <w:t>. В контексте сохранения культуры большое внимание в материалах периодической печати уделяется проблеме сохранения родных языков коренных малочисленных народов. В «Российской газете» за период с 2019 по первую половину 2021 года вышло 40 публикаций на эту тему. Аспекты ее освещения варьируются от вопросов подготовки педагогических кадров, специализирующихся на родных языках коренных малочисленных народов («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Задача для вузов», «Минобрнауки займется вопросом обучения коренных малочисленных народов севера», «В 28 регионах предложили обучать учителей национальных языков</w:t>
      </w:r>
      <w:r w:rsidRPr="00E84D76">
        <w:rPr>
          <w:rFonts w:ascii="Times New Roman" w:hAnsi="Times New Roman"/>
          <w:sz w:val="24"/>
          <w:szCs w:val="24"/>
        </w:rPr>
        <w:t xml:space="preserve">»), до разработок и внедрения интернет-приложений и сайтов на родных языках малочисленных народов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(«Портал для изучения языков коренных народов Севера запустят в 2021», «В Якутии переводить с русского на эвенский будет новое приложение»</w:t>
      </w:r>
      <w:r w:rsidRPr="00E84D76">
        <w:rPr>
          <w:rFonts w:ascii="Times New Roman" w:hAnsi="Times New Roman"/>
          <w:sz w:val="24"/>
          <w:szCs w:val="24"/>
        </w:rPr>
        <w:t xml:space="preserve">). В материалах этой тематической группы акцентирует роль государства, оказывающего всестороннюю поддержку сохранению исчезающих языков </w:t>
      </w:r>
      <w:r w:rsidRPr="00E84D76">
        <w:rPr>
          <w:rFonts w:ascii="Times New Roman" w:hAnsi="Times New Roman"/>
          <w:b/>
          <w:bCs/>
          <w:color w:val="FF0000"/>
          <w:sz w:val="24"/>
          <w:szCs w:val="24"/>
        </w:rPr>
        <w:t>(«Путин заявил о продолжении поддержки языков», «Валерий Газзаев: Национальная политика стала фактом народного единства», «Дебют Газзаева»</w:t>
      </w:r>
      <w:r w:rsidRPr="00E84D76">
        <w:rPr>
          <w:rFonts w:ascii="Times New Roman" w:hAnsi="Times New Roman"/>
          <w:sz w:val="24"/>
          <w:szCs w:val="24"/>
        </w:rPr>
        <w:t xml:space="preserve">). </w:t>
      </w:r>
    </w:p>
    <w:p w14:paraId="71FDA217" w14:textId="77777777" w:rsidR="007F1C7B" w:rsidRPr="00E84D76" w:rsidRDefault="007F1C7B" w:rsidP="00E84D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76">
        <w:rPr>
          <w:rFonts w:ascii="Times New Roman" w:hAnsi="Times New Roman"/>
          <w:sz w:val="24"/>
          <w:szCs w:val="24"/>
        </w:rPr>
        <w:t xml:space="preserve">Достаточно активное присутствие этой темы в периодической печати объясняется тем, что 2019 год был объявлен Организацией Объединенных Наций Международным годом сохранения языков коренных народов, а в конце 2020 года Ассамблеей ООН было провозглашено Международное десятилетие сохранение языков коренных народов, которое начнется с 2022 года. В июле 2021 года Председатель Правительства Российской Федерации М.В. </w:t>
      </w:r>
      <w:proofErr w:type="spellStart"/>
      <w:r w:rsidRPr="00E84D76">
        <w:rPr>
          <w:rFonts w:ascii="Times New Roman" w:hAnsi="Times New Roman"/>
          <w:sz w:val="24"/>
          <w:szCs w:val="24"/>
        </w:rPr>
        <w:t>Мишустин</w:t>
      </w:r>
      <w:proofErr w:type="spellEnd"/>
      <w:r w:rsidRPr="00E84D76">
        <w:rPr>
          <w:rFonts w:ascii="Times New Roman" w:hAnsi="Times New Roman"/>
          <w:sz w:val="24"/>
          <w:szCs w:val="24"/>
        </w:rPr>
        <w:t xml:space="preserve"> подписал соответствующее распоряжение, согласно которому предстоит образовать Национальный организационный комитет по подготовке и проведению в 2022–2032 годах Международного десятилетия языков коренных народов, разработать проекта плана основных мероприятий</w:t>
      </w:r>
      <w:r w:rsidRPr="00E84D76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E84D76">
        <w:rPr>
          <w:rFonts w:ascii="Times New Roman" w:hAnsi="Times New Roman"/>
          <w:sz w:val="24"/>
          <w:szCs w:val="24"/>
        </w:rPr>
        <w:t xml:space="preserve">. Документом рекомендовано органам исполнительной власти субъектов Российской Федерации приять участие в подготовке и проведении в России Международного десятилетия. </w:t>
      </w:r>
    </w:p>
    <w:p w14:paraId="646AA1E3" w14:textId="77777777" w:rsidR="00295CBA" w:rsidRPr="00E84D76" w:rsidRDefault="00295CBA" w:rsidP="00E84D76">
      <w:pPr>
        <w:spacing w:after="0" w:line="360" w:lineRule="auto"/>
        <w:ind w:firstLine="709"/>
        <w:rPr>
          <w:sz w:val="24"/>
          <w:szCs w:val="24"/>
        </w:rPr>
      </w:pPr>
    </w:p>
    <w:sectPr w:rsidR="00295CBA" w:rsidRPr="00E84D76" w:rsidSect="00E84D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3CF3" w14:textId="77777777" w:rsidR="007F1C7B" w:rsidRDefault="007F1C7B" w:rsidP="007F1C7B">
      <w:pPr>
        <w:spacing w:after="0" w:line="240" w:lineRule="auto"/>
      </w:pPr>
      <w:r>
        <w:separator/>
      </w:r>
    </w:p>
  </w:endnote>
  <w:endnote w:type="continuationSeparator" w:id="0">
    <w:p w14:paraId="688E3388" w14:textId="77777777" w:rsidR="007F1C7B" w:rsidRDefault="007F1C7B" w:rsidP="007F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1DD5" w14:textId="77777777" w:rsidR="007F1C7B" w:rsidRDefault="007F1C7B" w:rsidP="007F1C7B">
      <w:pPr>
        <w:spacing w:after="0" w:line="240" w:lineRule="auto"/>
      </w:pPr>
      <w:r>
        <w:separator/>
      </w:r>
    </w:p>
  </w:footnote>
  <w:footnote w:type="continuationSeparator" w:id="0">
    <w:p w14:paraId="67F5A290" w14:textId="77777777" w:rsidR="007F1C7B" w:rsidRDefault="007F1C7B" w:rsidP="007F1C7B">
      <w:pPr>
        <w:spacing w:after="0" w:line="240" w:lineRule="auto"/>
      </w:pPr>
      <w:r>
        <w:continuationSeparator/>
      </w:r>
    </w:p>
  </w:footnote>
  <w:footnote w:id="1">
    <w:p w14:paraId="2A4034E2" w14:textId="77777777" w:rsidR="007F1C7B" w:rsidRDefault="007F1C7B" w:rsidP="007F1C7B">
      <w:pPr>
        <w:pStyle w:val="a3"/>
      </w:pPr>
      <w:r>
        <w:rPr>
          <w:rStyle w:val="a5"/>
        </w:rPr>
        <w:footnoteRef/>
      </w:r>
      <w:r w:rsidRPr="009D0ABB">
        <w:rPr>
          <w:rFonts w:ascii="Times New Roman" w:hAnsi="Times New Roman"/>
        </w:rPr>
        <w:t>Стратегия государственной национальной политики</w:t>
      </w:r>
    </w:p>
  </w:footnote>
  <w:footnote w:id="2">
    <w:p w14:paraId="7C39848F" w14:textId="77777777" w:rsidR="007F1C7B" w:rsidRDefault="007F1C7B" w:rsidP="007F1C7B">
      <w:pPr>
        <w:pStyle w:val="a3"/>
      </w:pPr>
      <w:r>
        <w:rPr>
          <w:rStyle w:val="a5"/>
        </w:rPr>
        <w:footnoteRef/>
      </w:r>
      <w:r w:rsidRPr="00520B79">
        <w:rPr>
          <w:rFonts w:ascii="Times New Roman" w:hAnsi="Times New Roman"/>
        </w:rPr>
        <w:t>Распоряжение Правительства Российской Федерации от 20.07.2021 г. № 2004-р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B"/>
    <w:rsid w:val="00295CBA"/>
    <w:rsid w:val="007F1C7B"/>
    <w:rsid w:val="00E8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A7D4"/>
  <w15:chartTrackingRefBased/>
  <w15:docId w15:val="{C689629D-13BA-4BE1-8D8D-D4B979E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1C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1C7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F1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2021-10-31T16:52:00Z</dcterms:created>
  <dcterms:modified xsi:type="dcterms:W3CDTF">2021-10-31T16:52:00Z</dcterms:modified>
</cp:coreProperties>
</file>